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48A" w:rsidRDefault="008A348A" w:rsidP="008A348A">
      <w:pPr>
        <w:spacing w:line="480" w:lineRule="auto"/>
        <w:jc w:val="center"/>
      </w:pPr>
    </w:p>
    <w:p w:rsidR="00CD76B3" w:rsidRDefault="00CD76B3" w:rsidP="008A348A">
      <w:pPr>
        <w:spacing w:line="480" w:lineRule="auto"/>
        <w:jc w:val="center"/>
      </w:pPr>
    </w:p>
    <w:p w:rsidR="00CD76B3" w:rsidRDefault="00CD76B3" w:rsidP="008A348A">
      <w:pPr>
        <w:spacing w:line="480" w:lineRule="auto"/>
        <w:jc w:val="center"/>
      </w:pPr>
    </w:p>
    <w:p w:rsidR="00CD76B3" w:rsidRDefault="00CD76B3"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4E5CAC" w:rsidRDefault="004E5CAC" w:rsidP="008A348A">
      <w:pPr>
        <w:spacing w:line="480" w:lineRule="auto"/>
        <w:jc w:val="center"/>
      </w:pPr>
      <w:r>
        <w:t>Question 1 &amp; 2.</w:t>
      </w:r>
    </w:p>
    <w:p w:rsidR="004E5CAC" w:rsidRDefault="004E5CAC" w:rsidP="008A348A">
      <w:pPr>
        <w:spacing w:line="480" w:lineRule="auto"/>
        <w:jc w:val="center"/>
      </w:pPr>
      <w:r>
        <w:t>Name.</w:t>
      </w:r>
    </w:p>
    <w:p w:rsidR="004E5CAC" w:rsidRDefault="004E5CAC" w:rsidP="008A348A">
      <w:pPr>
        <w:spacing w:line="480" w:lineRule="auto"/>
        <w:jc w:val="center"/>
      </w:pPr>
      <w:r>
        <w:t>Institution.</w:t>
      </w:r>
    </w:p>
    <w:p w:rsidR="004E5CAC" w:rsidRDefault="004E5CAC" w:rsidP="008A348A">
      <w:pPr>
        <w:spacing w:line="480" w:lineRule="auto"/>
        <w:jc w:val="center"/>
      </w:pPr>
      <w:r>
        <w:t>Date.</w:t>
      </w: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CD76B3" w:rsidRDefault="00CD76B3" w:rsidP="008A348A">
      <w:pPr>
        <w:spacing w:line="480" w:lineRule="auto"/>
        <w:jc w:val="center"/>
      </w:pPr>
    </w:p>
    <w:p w:rsidR="004E5CAC" w:rsidRDefault="004E5CAC" w:rsidP="008A348A">
      <w:pPr>
        <w:spacing w:line="480" w:lineRule="auto"/>
        <w:jc w:val="center"/>
      </w:pPr>
      <w:r>
        <w:lastRenderedPageBreak/>
        <w:t>Question 1 &amp; 2</w:t>
      </w:r>
    </w:p>
    <w:p w:rsidR="002B141D" w:rsidRPr="004E5CAC" w:rsidRDefault="002B141D" w:rsidP="008A348A">
      <w:pPr>
        <w:spacing w:line="480" w:lineRule="auto"/>
        <w:jc w:val="center"/>
        <w:rPr>
          <w:b/>
        </w:rPr>
      </w:pPr>
      <w:r w:rsidRPr="004E5CAC">
        <w:rPr>
          <w:b/>
        </w:rPr>
        <w:t>Question #1</w:t>
      </w:r>
    </w:p>
    <w:p w:rsidR="00B650BF" w:rsidRDefault="00B650BF" w:rsidP="00B650BF">
      <w:pPr>
        <w:spacing w:line="480" w:lineRule="auto"/>
        <w:ind w:firstLine="720"/>
      </w:pPr>
      <w:r>
        <w:t xml:space="preserve">While Gilded Age marked a period of the fastest economic growth in American history, it is known political stalemate and the vast corruption. In the early 20th century, the increasing American's dissatisfaction with political inefficiency, widespread corruption, industrial problems, and urban crisis created an urgent necessity to bring balance in America (Campbell, 2002). As a result, dynamic, progressive movements were formed in1890s. </w:t>
      </w:r>
    </w:p>
    <w:p w:rsidR="00B650BF" w:rsidRDefault="00B650BF" w:rsidP="00B650BF">
      <w:pPr>
        <w:spacing w:line="480" w:lineRule="auto"/>
        <w:ind w:firstLine="720"/>
      </w:pPr>
      <w:r>
        <w:t>The movements targeted major regions such as major cities and states, and industries, education and medicine fields to campaign for the introduction of efficiency as a catalyst for change, elimination of corruption, reform of decrepit organizations and modernization (Westhoff, 2015). Influential figures led the movements in both the republican and democratic parties such as Theodore Roosevelt, Robert La Follete and Charles Hughes of the Republican party as well as Woodrow Wilson and William Bryan of Democratic Party.</w:t>
      </w:r>
    </w:p>
    <w:p w:rsidR="00B650BF" w:rsidRDefault="00B650BF" w:rsidP="00B650BF">
      <w:pPr>
        <w:spacing w:line="480" w:lineRule="auto"/>
        <w:ind w:firstLine="720"/>
      </w:pPr>
      <w:r>
        <w:t>The progressive era achieved many of its objectives in the period 1900 to 1920. With the help of journalists such as Jacob Riis and Lincoln Steffens, the progressives were able to expose corruption in government and businesses.  As a result, antitrust laws and industries regulations such as railroads, meatpacking and drugs were enforced. Also, during this era, four constitutional amendments were done, Sixteenth through Nineteenth amendments (Westhoff, 2015). This resulted in women's suffrage, direct election of senators, federal income tax and prohibition of alcohol.</w:t>
      </w:r>
    </w:p>
    <w:p w:rsidR="008A348A" w:rsidRDefault="00B650BF" w:rsidP="00B650BF">
      <w:pPr>
        <w:spacing w:line="480" w:lineRule="auto"/>
        <w:ind w:firstLine="720"/>
      </w:pPr>
      <w:r>
        <w:t xml:space="preserve">In comparison, Gilded Age focused wealth accumulation and supported factors that catalyzed economic growth such as robber barons, the gospel of wealth, technological </w:t>
      </w:r>
      <w:r>
        <w:lastRenderedPageBreak/>
        <w:t>revolutions and machine politics. On the other hand, the progressive era focused on bringing a balance in America by improving efficiency in government and creating a more level playing field for businesses. An essential factor that the progressives failed to address was the intense discrimination and segregation of African-Americans (Campbell, 2002). Therefore, the progressives achieved many of its objectives that had created an urgent necessity of progressive movements in the country.</w:t>
      </w: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B650BF" w:rsidRDefault="00B650BF" w:rsidP="008A348A">
      <w:pPr>
        <w:spacing w:line="480" w:lineRule="auto"/>
        <w:jc w:val="center"/>
      </w:pPr>
    </w:p>
    <w:p w:rsidR="00115ADF" w:rsidRDefault="00115ADF" w:rsidP="008A348A">
      <w:pPr>
        <w:spacing w:line="480" w:lineRule="auto"/>
        <w:jc w:val="center"/>
      </w:pPr>
      <w:r>
        <w:lastRenderedPageBreak/>
        <w:t>References</w:t>
      </w:r>
    </w:p>
    <w:p w:rsidR="00115ADF" w:rsidRDefault="00B22B1D" w:rsidP="008A348A">
      <w:pPr>
        <w:pStyle w:val="Bibliography"/>
        <w:spacing w:line="480" w:lineRule="auto"/>
        <w:ind w:left="720" w:hanging="720"/>
        <w:rPr>
          <w:noProof/>
        </w:rPr>
      </w:pPr>
      <w:r>
        <w:fldChar w:fldCharType="begin"/>
      </w:r>
      <w:r w:rsidR="00115ADF">
        <w:instrText xml:space="preserve"> BIBLIOGRAPHY  \l 1033 </w:instrText>
      </w:r>
      <w:r>
        <w:fldChar w:fldCharType="separate"/>
      </w:r>
      <w:r w:rsidR="00115ADF">
        <w:rPr>
          <w:noProof/>
        </w:rPr>
        <w:t xml:space="preserve">Campbell, B. (2002). Comparative Perspectives on the Gilded Age and Progressive Era. </w:t>
      </w:r>
      <w:r w:rsidR="00115ADF">
        <w:rPr>
          <w:i/>
          <w:iCs/>
          <w:noProof/>
        </w:rPr>
        <w:t>The Journal of the Gilded Age and Progressive Era</w:t>
      </w:r>
      <w:r w:rsidR="00115ADF">
        <w:rPr>
          <w:noProof/>
        </w:rPr>
        <w:t xml:space="preserve"> , 154-179.</w:t>
      </w:r>
    </w:p>
    <w:p w:rsidR="00115ADF" w:rsidRDefault="00115ADF" w:rsidP="008A348A">
      <w:pPr>
        <w:pStyle w:val="Bibliography"/>
        <w:spacing w:line="480" w:lineRule="auto"/>
        <w:ind w:left="720" w:hanging="720"/>
        <w:rPr>
          <w:noProof/>
        </w:rPr>
      </w:pPr>
      <w:r>
        <w:rPr>
          <w:noProof/>
        </w:rPr>
        <w:t xml:space="preserve">Westhoff, M. (2015). Reacting to the past in the Gilded Age and Progressive Era Classroom. </w:t>
      </w:r>
      <w:r>
        <w:rPr>
          <w:i/>
          <w:iCs/>
          <w:noProof/>
        </w:rPr>
        <w:t>The Journal of the Gilded Age and Progressive Era</w:t>
      </w:r>
      <w:r>
        <w:rPr>
          <w:noProof/>
        </w:rPr>
        <w:t xml:space="preserve"> , 580-582.</w:t>
      </w:r>
    </w:p>
    <w:p w:rsidR="00115ADF" w:rsidRDefault="00B22B1D" w:rsidP="008A348A">
      <w:pPr>
        <w:spacing w:line="480" w:lineRule="auto"/>
        <w:ind w:left="720" w:hanging="720"/>
      </w:pPr>
      <w:r>
        <w:fldChar w:fldCharType="end"/>
      </w: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8A348A" w:rsidRDefault="008A348A" w:rsidP="008A348A">
      <w:pPr>
        <w:spacing w:line="480" w:lineRule="auto"/>
        <w:jc w:val="center"/>
        <w:rPr>
          <w:b/>
        </w:rPr>
      </w:pPr>
    </w:p>
    <w:p w:rsidR="002B141D" w:rsidRPr="004E5CAC" w:rsidRDefault="002B141D" w:rsidP="008A348A">
      <w:pPr>
        <w:spacing w:line="480" w:lineRule="auto"/>
        <w:jc w:val="center"/>
        <w:rPr>
          <w:b/>
        </w:rPr>
      </w:pPr>
      <w:r w:rsidRPr="004E5CAC">
        <w:rPr>
          <w:b/>
        </w:rPr>
        <w:lastRenderedPageBreak/>
        <w:t>Question #2</w:t>
      </w:r>
    </w:p>
    <w:p w:rsidR="00B650BF" w:rsidRDefault="00B650BF" w:rsidP="00B650BF">
      <w:pPr>
        <w:spacing w:line="480" w:lineRule="auto"/>
        <w:ind w:firstLine="720"/>
      </w:pPr>
      <w:r>
        <w:t xml:space="preserve">While influential leaders were vocal in campaigning for corruption-free institutions at both regional and national levels as well as improving the economic conditions of many Americans in late 1800, racism and marginalization of minority groups such as African Americans were apparent, resulting in urban blight. The rationale of the urban decay is that as the unemployment levels escalated among the marginalized groups, poverty levels skyrocketed swiftly (Curci, 2018). As a result, most of these marginalized groups resolved to criminal activities to fix the unemployment gaps resulting in ‘White flight', where white people escaped to rural areas and hence causing depopulation in urban areas. </w:t>
      </w:r>
    </w:p>
    <w:p w:rsidR="00B650BF" w:rsidRDefault="00B650BF" w:rsidP="00B650BF">
      <w:pPr>
        <w:spacing w:line="480" w:lineRule="auto"/>
        <w:ind w:firstLine="720"/>
      </w:pPr>
      <w:r>
        <w:t xml:space="preserve">In my opinion, industrial expansion brought a positive impact. The industrial enlargement transformed American society since it produced a new class of wealthy industrialists as well as a flourishing middle class. Also, the labour force that supported the success of industrialization was made up of a large pool of immigrants as well as migrants from the rural areas. Millions of immigrants from different corners of the world during this era made American society diverse than ever (Curci, 2018). On the other hand, there were some negative impacts, especially to Americans who could not adapt to the technological revolution. However, to me, these problems were short-term. Therefore, industrial expansion brought a positive impact on American society by creating jobs, improving economic status and promoting diversity. </w:t>
      </w:r>
    </w:p>
    <w:p w:rsidR="00B650BF" w:rsidRDefault="00B650BF" w:rsidP="00B650BF">
      <w:pPr>
        <w:spacing w:line="480" w:lineRule="auto"/>
        <w:ind w:firstLine="720"/>
      </w:pPr>
      <w:r>
        <w:t xml:space="preserve">For industrialization to be a success, people immigrated to the U.S to provide the much-needed labour force. The experience of the rising immigrant communities included language barriers, mistrust, prejudice, religious persecution and poverty. Additionally, the immigrants were too many, and America experienced difficulty in absorbing them. As a result, many chose to stay in major cities to access jobs and subsequently to cause an urban crisis (Meyer, 2017). As </w:t>
      </w:r>
      <w:r>
        <w:lastRenderedPageBreak/>
        <w:t xml:space="preserve">a result, they lived in tenements, which denotes to low-rise apartments. The structures were concentrated, poorly lit, lacked proper ventilation and lacked indoor plumbing. Therefore, most immigrant communities experienced different problems when settling in the U.S. </w:t>
      </w:r>
    </w:p>
    <w:p w:rsidR="00B650BF" w:rsidRDefault="00B650BF" w:rsidP="00B650BF">
      <w:pPr>
        <w:spacing w:line="480" w:lineRule="auto"/>
        <w:jc w:val="center"/>
      </w:pPr>
    </w:p>
    <w:p w:rsidR="00B650BF" w:rsidRDefault="00B650BF" w:rsidP="00B650BF">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8A348A">
      <w:pPr>
        <w:spacing w:line="480" w:lineRule="auto"/>
        <w:jc w:val="center"/>
      </w:pPr>
    </w:p>
    <w:p w:rsidR="008A348A" w:rsidRDefault="008A348A" w:rsidP="00B650BF">
      <w:pPr>
        <w:spacing w:line="480" w:lineRule="auto"/>
      </w:pPr>
    </w:p>
    <w:p w:rsidR="00B650BF" w:rsidRDefault="00B650BF" w:rsidP="00B650BF">
      <w:pPr>
        <w:spacing w:line="480" w:lineRule="auto"/>
      </w:pPr>
    </w:p>
    <w:p w:rsidR="00115ADF" w:rsidRDefault="008A348A" w:rsidP="008A348A">
      <w:pPr>
        <w:spacing w:line="480" w:lineRule="auto"/>
        <w:jc w:val="center"/>
      </w:pPr>
      <w:r>
        <w:lastRenderedPageBreak/>
        <w:t>References</w:t>
      </w:r>
    </w:p>
    <w:p w:rsidR="008A348A" w:rsidRDefault="00B22B1D" w:rsidP="008A348A">
      <w:pPr>
        <w:pStyle w:val="Bibliography"/>
        <w:spacing w:line="480" w:lineRule="auto"/>
        <w:ind w:left="720" w:hanging="720"/>
        <w:rPr>
          <w:noProof/>
        </w:rPr>
      </w:pPr>
      <w:r>
        <w:fldChar w:fldCharType="begin"/>
      </w:r>
      <w:r w:rsidR="008A348A">
        <w:instrText xml:space="preserve"> BIBLIOGRAPHY  \l 1033 </w:instrText>
      </w:r>
      <w:r>
        <w:fldChar w:fldCharType="separate"/>
      </w:r>
      <w:r w:rsidR="008A348A">
        <w:rPr>
          <w:noProof/>
        </w:rPr>
        <w:t xml:space="preserve">Curci, F. (2018). Flight From Urban Blight: Lead Poisoning, Crime, and Suburbanization. </w:t>
      </w:r>
      <w:r w:rsidR="008A348A">
        <w:rPr>
          <w:i/>
          <w:iCs/>
          <w:noProof/>
        </w:rPr>
        <w:t>SSRN Electronic Journal</w:t>
      </w:r>
      <w:r w:rsidR="008A348A">
        <w:rPr>
          <w:noProof/>
        </w:rPr>
        <w:t xml:space="preserve"> , 7-11.</w:t>
      </w:r>
    </w:p>
    <w:p w:rsidR="008A348A" w:rsidRDefault="008A348A" w:rsidP="008A348A">
      <w:pPr>
        <w:pStyle w:val="Bibliography"/>
        <w:spacing w:line="480" w:lineRule="auto"/>
        <w:ind w:left="720" w:hanging="720"/>
        <w:rPr>
          <w:noProof/>
        </w:rPr>
      </w:pPr>
      <w:r>
        <w:rPr>
          <w:noProof/>
        </w:rPr>
        <w:t xml:space="preserve">Meyer, W. (2017). Capital Cities in the American urban system: the Impact of State Expansion. </w:t>
      </w:r>
      <w:r>
        <w:rPr>
          <w:i/>
          <w:iCs/>
          <w:noProof/>
        </w:rPr>
        <w:t>American Journal of Sociology</w:t>
      </w:r>
      <w:r>
        <w:rPr>
          <w:noProof/>
        </w:rPr>
        <w:t xml:space="preserve"> , 117-119.</w:t>
      </w:r>
    </w:p>
    <w:p w:rsidR="008A348A" w:rsidRDefault="008A348A" w:rsidP="008A348A">
      <w:pPr>
        <w:pStyle w:val="Bibliography"/>
        <w:spacing w:line="480" w:lineRule="auto"/>
        <w:rPr>
          <w:noProof/>
        </w:rPr>
      </w:pPr>
    </w:p>
    <w:p w:rsidR="008A348A" w:rsidRDefault="00B22B1D" w:rsidP="008A348A">
      <w:pPr>
        <w:spacing w:line="480" w:lineRule="auto"/>
      </w:pPr>
      <w:r>
        <w:fldChar w:fldCharType="end"/>
      </w:r>
    </w:p>
    <w:p w:rsidR="004E5CAC" w:rsidRDefault="004E5CAC" w:rsidP="008A348A">
      <w:pPr>
        <w:spacing w:line="480" w:lineRule="auto"/>
      </w:pPr>
    </w:p>
    <w:p w:rsidR="00B14475" w:rsidRDefault="00B14475" w:rsidP="008A348A">
      <w:pPr>
        <w:spacing w:line="480" w:lineRule="auto"/>
      </w:pPr>
    </w:p>
    <w:sectPr w:rsidR="00B14475" w:rsidSect="004E5C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AA5" w:rsidRDefault="002C5AA5" w:rsidP="004E5CAC">
      <w:pPr>
        <w:spacing w:after="0" w:line="240" w:lineRule="auto"/>
      </w:pPr>
      <w:r>
        <w:separator/>
      </w:r>
    </w:p>
  </w:endnote>
  <w:endnote w:type="continuationSeparator" w:id="1">
    <w:p w:rsidR="002C5AA5" w:rsidRDefault="002C5AA5" w:rsidP="004E5C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AA5" w:rsidRDefault="002C5AA5" w:rsidP="004E5CAC">
      <w:pPr>
        <w:spacing w:after="0" w:line="240" w:lineRule="auto"/>
      </w:pPr>
      <w:r>
        <w:separator/>
      </w:r>
    </w:p>
  </w:footnote>
  <w:footnote w:type="continuationSeparator" w:id="1">
    <w:p w:rsidR="002C5AA5" w:rsidRDefault="002C5AA5" w:rsidP="004E5C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AC" w:rsidRDefault="004E5CAC">
    <w:pPr>
      <w:pStyle w:val="Header"/>
      <w:jc w:val="right"/>
    </w:pPr>
    <w:r>
      <w:t xml:space="preserve">QUESTION 1 &amp; 2                                                                                                                           </w:t>
    </w:r>
    <w:sdt>
      <w:sdtPr>
        <w:id w:val="17228757"/>
        <w:docPartObj>
          <w:docPartGallery w:val="Page Numbers (Top of Page)"/>
          <w:docPartUnique/>
        </w:docPartObj>
      </w:sdtPr>
      <w:sdtContent>
        <w:fldSimple w:instr=" PAGE   \* MERGEFORMAT ">
          <w:r w:rsidR="00B650BF">
            <w:rPr>
              <w:noProof/>
            </w:rPr>
            <w:t>7</w:t>
          </w:r>
        </w:fldSimple>
      </w:sdtContent>
    </w:sdt>
  </w:p>
  <w:p w:rsidR="004E5CAC" w:rsidRDefault="004E5C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AC" w:rsidRDefault="004E5CAC">
    <w:pPr>
      <w:pStyle w:val="Header"/>
      <w:jc w:val="right"/>
    </w:pPr>
    <w:r>
      <w:t xml:space="preserve">Running head: QUESTION 1 &amp; 2                                                                                                   </w:t>
    </w:r>
    <w:sdt>
      <w:sdtPr>
        <w:id w:val="17228626"/>
        <w:docPartObj>
          <w:docPartGallery w:val="Page Numbers (Top of Page)"/>
          <w:docPartUnique/>
        </w:docPartObj>
      </w:sdtPr>
      <w:sdtContent>
        <w:fldSimple w:instr=" PAGE   \* MERGEFORMAT ">
          <w:r w:rsidR="00B650BF">
            <w:rPr>
              <w:noProof/>
            </w:rPr>
            <w:t>1</w:t>
          </w:r>
        </w:fldSimple>
      </w:sdtContent>
    </w:sdt>
  </w:p>
  <w:p w:rsidR="004E5CAC" w:rsidRDefault="004E5C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712FA"/>
    <w:rsid w:val="00086620"/>
    <w:rsid w:val="00115ADF"/>
    <w:rsid w:val="001257F9"/>
    <w:rsid w:val="00296ECC"/>
    <w:rsid w:val="002B141D"/>
    <w:rsid w:val="002C5AA5"/>
    <w:rsid w:val="002E557A"/>
    <w:rsid w:val="002F1453"/>
    <w:rsid w:val="00475679"/>
    <w:rsid w:val="004D3310"/>
    <w:rsid w:val="004D58A7"/>
    <w:rsid w:val="004E5CAC"/>
    <w:rsid w:val="00581C49"/>
    <w:rsid w:val="006D0346"/>
    <w:rsid w:val="00721A6E"/>
    <w:rsid w:val="007712FA"/>
    <w:rsid w:val="00781573"/>
    <w:rsid w:val="008A348A"/>
    <w:rsid w:val="00A10479"/>
    <w:rsid w:val="00B14475"/>
    <w:rsid w:val="00B22B1D"/>
    <w:rsid w:val="00B650BF"/>
    <w:rsid w:val="00C71466"/>
    <w:rsid w:val="00CD76B3"/>
    <w:rsid w:val="00D80B50"/>
    <w:rsid w:val="00DB65A0"/>
    <w:rsid w:val="00E10A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CAC"/>
  </w:style>
  <w:style w:type="paragraph" w:styleId="Footer">
    <w:name w:val="footer"/>
    <w:basedOn w:val="Normal"/>
    <w:link w:val="FooterChar"/>
    <w:uiPriority w:val="99"/>
    <w:semiHidden/>
    <w:unhideWhenUsed/>
    <w:rsid w:val="004E5C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5CAC"/>
  </w:style>
  <w:style w:type="paragraph" w:styleId="Bibliography">
    <w:name w:val="Bibliography"/>
    <w:basedOn w:val="Normal"/>
    <w:next w:val="Normal"/>
    <w:uiPriority w:val="37"/>
    <w:unhideWhenUsed/>
    <w:rsid w:val="00115ADF"/>
  </w:style>
  <w:style w:type="paragraph" w:styleId="BalloonText">
    <w:name w:val="Balloon Text"/>
    <w:basedOn w:val="Normal"/>
    <w:link w:val="BalloonTextChar"/>
    <w:uiPriority w:val="99"/>
    <w:semiHidden/>
    <w:unhideWhenUsed/>
    <w:rsid w:val="008A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4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Wes15</b:Tag>
    <b:SourceType>JournalArticle</b:SourceType>
    <b:Guid>{AFD5B1D2-EE0A-4529-851F-9E24D3E7BFFB}</b:Guid>
    <b:LCID>0</b:LCID>
    <b:Author>
      <b:Author>
        <b:NameList>
          <b:Person>
            <b:Last>Westhoff</b:Last>
            <b:First>M.</b:First>
          </b:Person>
        </b:NameList>
      </b:Author>
    </b:Author>
    <b:Title>Reacting to the past in the Gilded Age and Progressive Era Classroom</b:Title>
    <b:JournalName>The Journal of the Gilded Age and Progressive Era</b:JournalName>
    <b:Year>2015</b:Year>
    <b:Pages>580-582</b:Pages>
    <b:RefOrder>2</b:RefOrder>
  </b:Source>
  <b:Source>
    <b:Tag>Cam02</b:Tag>
    <b:SourceType>JournalArticle</b:SourceType>
    <b:Guid>{AD7CBAC2-AD3B-423B-A917-CBDCB14DCC94}</b:Guid>
    <b:LCID>0</b:LCID>
    <b:Author>
      <b:Author>
        <b:NameList>
          <b:Person>
            <b:Last>Campbell</b:Last>
            <b:First>B.</b:First>
          </b:Person>
        </b:NameList>
      </b:Author>
    </b:Author>
    <b:Title>Comparative Perspectives on the Gilded Age and Progressive Era</b:Title>
    <b:JournalName>The Journal of the Gilded Age and Progressive Era</b:JournalName>
    <b:Year>2002</b:Year>
    <b:Pages>154-179</b:Pages>
    <b:RefOrder>1</b:RefOrder>
  </b:Source>
  <b:Source>
    <b:Tag>Cur18</b:Tag>
    <b:SourceType>JournalArticle</b:SourceType>
    <b:Guid>{5D66B4AB-19FE-4A4B-B131-E4CF9FF28417}</b:Guid>
    <b:LCID>0</b:LCID>
    <b:Author>
      <b:Author>
        <b:NameList>
          <b:Person>
            <b:Last>Curci</b:Last>
            <b:First>F.</b:First>
          </b:Person>
        </b:NameList>
      </b:Author>
    </b:Author>
    <b:Title>Flight From Urban Blight: Lead Poisoning, Crime, and Suburbanization</b:Title>
    <b:JournalName>SSRN Electronic Journal</b:JournalName>
    <b:Year>2018</b:Year>
    <b:Pages>7-11</b:Pages>
    <b:RefOrder>3</b:RefOrder>
  </b:Source>
  <b:Source>
    <b:Tag>Mey17</b:Tag>
    <b:SourceType>JournalArticle</b:SourceType>
    <b:Guid>{DE807A8B-54F0-40BA-82A7-E6932BE2E71A}</b:Guid>
    <b:LCID>0</b:LCID>
    <b:Author>
      <b:Author>
        <b:NameList>
          <b:Person>
            <b:Last>Meyer</b:Last>
            <b:First>W.</b:First>
          </b:Person>
        </b:NameList>
      </b:Author>
    </b:Author>
    <b:Title>Capital Cities in the American urban system: the Impact of State Expansion</b:Title>
    <b:JournalName>American Journal of Sociology</b:JournalName>
    <b:Year>2017</b:Year>
    <b:Pages>117-119</b:Pages>
    <b:RefOrder>4</b:RefOrder>
  </b:Source>
</b:Sources>
</file>

<file path=customXml/itemProps1.xml><?xml version="1.0" encoding="utf-8"?>
<ds:datastoreItem xmlns:ds="http://schemas.openxmlformats.org/officeDocument/2006/customXml" ds:itemID="{E8E137D6-6CA3-4920-BFBB-A6B29C11C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2019-08-13T18:56:00Z</dcterms:created>
  <dcterms:modified xsi:type="dcterms:W3CDTF">2019-08-13T18:56:00Z</dcterms:modified>
</cp:coreProperties>
</file>